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9C" w:rsidRPr="002365E1" w:rsidRDefault="00476A9C" w:rsidP="002365E1">
      <w:pPr>
        <w:bidi/>
        <w:spacing w:after="0" w:line="360" w:lineRule="auto"/>
        <w:jc w:val="center"/>
        <w:rPr>
          <w:rFonts w:ascii="Arial" w:eastAsia="Calibri" w:hAnsi="Times New Roman" w:cs="B Nazanin"/>
          <w:b/>
          <w:bCs/>
          <w:color w:val="000000"/>
          <w:kern w:val="24"/>
          <w:sz w:val="25"/>
          <w:szCs w:val="25"/>
          <w:lang w:bidi="fa-IR"/>
        </w:rPr>
      </w:pPr>
      <w:r w:rsidRPr="002365E1">
        <w:rPr>
          <w:rFonts w:ascii="Arial" w:eastAsia="Calibri" w:hAnsi="Times New Roman" w:cs="B Nazanin" w:hint="cs"/>
          <w:b/>
          <w:bCs/>
          <w:color w:val="000000"/>
          <w:kern w:val="24"/>
          <w:sz w:val="25"/>
          <w:szCs w:val="25"/>
          <w:highlight w:val="lightGray"/>
          <w:rtl/>
          <w:lang w:bidi="fa-IR"/>
        </w:rPr>
        <w:t>عنوان 11: مطالعه تطبیقی و تدوین مدل بهره گیری از ظرفیت نهادهای عمومی برای توسعه آموزشهای مهارتی</w:t>
      </w:r>
    </w:p>
    <w:tbl>
      <w:tblPr>
        <w:tblpPr w:leftFromText="180" w:rightFromText="180" w:vertAnchor="page" w:horzAnchor="margin" w:tblpY="2431"/>
        <w:bidiVisual/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214"/>
      </w:tblGrid>
      <w:tr w:rsidR="00C97A41" w:rsidRPr="002365E1" w:rsidTr="007D4C85">
        <w:trPr>
          <w:trHeight w:val="3084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C97A41" w:rsidRPr="002365E1" w:rsidRDefault="00C97A41" w:rsidP="00E61412">
            <w:pPr>
              <w:bidi/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sz w:val="25"/>
                <w:szCs w:val="25"/>
              </w:rPr>
            </w:pPr>
            <w:r w:rsidRPr="002365E1">
              <w:rPr>
                <w:rFonts w:ascii="Arial" w:eastAsia="Calibri" w:hAnsi="Arial" w:cs="B Nazanin" w:hint="cs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  <w:t>بیان مسأله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2365E1" w:rsidRDefault="00027E89" w:rsidP="00027E89">
            <w:pPr>
              <w:bidi/>
              <w:jc w:val="lowKashida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lang w:bidi="fa-IR"/>
              </w:rPr>
            </w:pPr>
            <w:r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آموزش‌</w:t>
            </w:r>
            <w:r w:rsidR="006F4879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های مهارتی، فنی و حرفه ای </w:t>
            </w:r>
            <w:r w:rsidR="00B16307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افراد را برای</w:t>
            </w:r>
            <w:r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ورود </w:t>
            </w:r>
            <w:r w:rsidR="00237FB3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به بازار کار آماده می کند. ایجاد فرصت های اشتغالزایی که زیربنای اشتغال پایدار است از جمله مزایای توسعه </w:t>
            </w:r>
            <w:r w:rsidR="00695301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</w:t>
            </w:r>
            <w:r w:rsidR="00237FB3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موزش ها</w:t>
            </w:r>
            <w:r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ی</w:t>
            </w:r>
            <w:r w:rsidR="00237FB3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مهارتی برای چرخه اقتصادی کشورهاست. با توجه به رشد جمعیت و فزونی افراد در سنین </w:t>
            </w:r>
            <w:r w:rsidR="00695301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فعال اقتصادی</w:t>
            </w:r>
            <w:r w:rsidR="00237FB3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، تغییرات دنیای کار، تنوع حرفه ها و تخصصی شدن مشاغل  و ...</w:t>
            </w:r>
            <w:r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وظایف امروز متولیان آموزش‌</w:t>
            </w:r>
            <w:r w:rsidR="00237FB3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های مهارتی در کشور دوچندان شده که در این میان سازمان </w:t>
            </w:r>
            <w:r w:rsidR="00E07A2E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</w:t>
            </w:r>
            <w:r w:rsidR="00237FB3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موزش فنی و حرفه ای کشور به عنوان متولی آموزش های کوتاه مدت غیررسمی در کشور </w:t>
            </w:r>
            <w:r w:rsidR="00695301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نیز</w:t>
            </w:r>
            <w:r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،</w:t>
            </w:r>
            <w:r w:rsidR="00695301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237FB3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از این مقوله جدا نیست. </w:t>
            </w:r>
            <w:r w:rsidR="00E07A2E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لذا همکاری و مشارکت نهادهای عمومی، مردمی و سایر دستگاه های مجری مهارت</w:t>
            </w:r>
            <w:r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‌</w:t>
            </w:r>
            <w:r w:rsidR="00E07A2E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آموزی در کشور در توسعه آموزش های مهارت آموزی حائز اهمیت است.</w:t>
            </w:r>
            <w:r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هم افزایی و تقریب ظرفیت‌</w:t>
            </w:r>
            <w:r w:rsidR="00135885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های مشترک </w:t>
            </w:r>
            <w:r w:rsidR="00695301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آن نهادها در پیشبرد،</w:t>
            </w:r>
            <w:r w:rsidR="00135885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پوشش آموزش های مهارتی </w:t>
            </w:r>
            <w:r w:rsidR="00695301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در زمره میزان دسترسی </w:t>
            </w:r>
            <w:r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پذیری این آموزش ها را برای تمامی</w:t>
            </w:r>
            <w:r w:rsidR="00695301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اقشار مردم فراهم می سازد و این خود گسترش عدالت آموزشی است</w:t>
            </w:r>
            <w:r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.</w:t>
            </w:r>
            <w:r w:rsidR="00695301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135885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لذا مساله اصلی در این پژوهش تدوین مدل بهره گیری از ظرفیت نهادهای عمومی برای توسعه </w:t>
            </w:r>
            <w:r w:rsidR="006D44AB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</w:t>
            </w:r>
            <w:r w:rsidR="00135885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موزش های مهارتی</w:t>
            </w:r>
            <w:r w:rsidR="006D44AB" w:rsidRPr="002365E1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و بررسی تطبیقی  مدل های بهره گیری از ظرفیت نهادهای عمومی برای توسعه آموزش های مهارتی می باشد.</w:t>
            </w:r>
          </w:p>
        </w:tc>
      </w:tr>
      <w:tr w:rsidR="00C97A41" w:rsidRPr="002365E1" w:rsidTr="007D4C85">
        <w:trPr>
          <w:trHeight w:val="973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2365E1" w:rsidRDefault="00C97A41" w:rsidP="00027E89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2365E1">
              <w:rPr>
                <w:rFonts w:ascii="Arial" w:eastAsia="Calibri" w:cs="B Nazanin" w:hint="cs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  <w:t>اهداف پژوهش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875113" w:rsidRDefault="00875113" w:rsidP="00875113">
            <w:pPr>
              <w:bidi/>
              <w:spacing w:after="0" w:line="256" w:lineRule="auto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1-</w:t>
            </w:r>
            <w:r w:rsidR="00EB39C9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مطالعه تطبیقی مدل های بهره گیری از ظرفیت نهادهای عمومی برای توسعه </w:t>
            </w:r>
            <w:r w:rsidR="00B97AE7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</w:t>
            </w:r>
            <w:r w:rsidR="00EB39C9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موزش های مهارتی در 5 کشور صاحب نظر در </w:t>
            </w:r>
            <w:r w:rsidR="001D7E0B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</w:t>
            </w:r>
            <w:r w:rsidR="00EB39C9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موزش های مهارتی</w:t>
            </w:r>
            <w:r w:rsidR="00027E89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B39C9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(</w:t>
            </w:r>
            <w:r w:rsidR="00B43ABE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پیشنهادی </w:t>
            </w:r>
            <w:r w:rsidR="00EB39C9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آلمان، </w:t>
            </w:r>
            <w:r w:rsidR="004A4F74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اتریش، ایالات متحده آمریکا</w:t>
            </w:r>
            <w:r w:rsidR="00EB39C9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، </w:t>
            </w:r>
            <w:r w:rsidR="001D7E0B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استرالیا 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، چین، کره جنوبی و</w:t>
            </w:r>
            <w:r w:rsidR="001D7E0B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B43ABE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آفریقای جنوبی)</w:t>
            </w:r>
          </w:p>
          <w:p w:rsidR="00B97AE7" w:rsidRPr="002365E1" w:rsidRDefault="00875113" w:rsidP="00875113">
            <w:pPr>
              <w:bidi/>
              <w:spacing w:after="0" w:line="256" w:lineRule="auto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2-</w:t>
            </w:r>
            <w:r w:rsidR="00B97AE7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تدوین  مدل های بهره گیری از ظرفیت نهادهای عمومی برای توسعه آموزش های مهارتی</w:t>
            </w:r>
          </w:p>
        </w:tc>
      </w:tr>
      <w:tr w:rsidR="00C97A41" w:rsidRPr="002365E1" w:rsidTr="007D4C85">
        <w:trPr>
          <w:trHeight w:val="1540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2365E1" w:rsidRDefault="00C97A41" w:rsidP="00027E89">
            <w:pPr>
              <w:pStyle w:val="NormalWeb"/>
              <w:jc w:val="center"/>
              <w:rPr>
                <w:rFonts w:ascii="Arial" w:eastAsia="Calibri" w:cs="B Nazanin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 w:rsidRPr="002365E1">
              <w:rPr>
                <w:rFonts w:ascii="Arial" w:eastAsia="Calibri" w:cs="B Nazanin" w:hint="cs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  <w:t>سوالات اصلی پژوهش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0063A7" w:rsidRPr="002365E1" w:rsidRDefault="00875113" w:rsidP="002D6DE7">
            <w:pPr>
              <w:bidi/>
              <w:spacing w:after="0" w:line="256" w:lineRule="auto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1-</w:t>
            </w:r>
            <w:r w:rsidR="008C79B6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با توجه به مدل های بهره گیری از ظرفیت نهادهای عمومی برای توسعه آموزش های مهارتی، مدل مناسب توسعه آموزش مهارتی در ایران کدام است؟</w:t>
            </w:r>
          </w:p>
          <w:p w:rsidR="00C97A41" w:rsidRDefault="00875113" w:rsidP="007D4C85">
            <w:pPr>
              <w:bidi/>
              <w:spacing w:after="0" w:line="256" w:lineRule="auto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2-راهکارهای</w:t>
            </w:r>
            <w:r w:rsidR="002D6DE7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عملی و </w:t>
            </w:r>
            <w:r w:rsidR="00AE1FA9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مدل مناسب  بهره</w:t>
            </w:r>
            <w:r w:rsidR="00027E89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‌</w:t>
            </w:r>
            <w:r w:rsidR="00AE1FA9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گیری از ظرفیت نهادهای عمومی برای توسعه آموزش های مهارتی کدام است؟</w:t>
            </w:r>
          </w:p>
          <w:p w:rsidR="002D6DE7" w:rsidRPr="002365E1" w:rsidRDefault="002D6DE7" w:rsidP="002D6DE7">
            <w:pPr>
              <w:bidi/>
              <w:spacing w:after="0" w:line="256" w:lineRule="auto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3-شناسایی نهادهای عمومی و وضعیت عملکرد فعلی آنها در رابطه با مهارت آموزی</w:t>
            </w:r>
          </w:p>
        </w:tc>
      </w:tr>
      <w:tr w:rsidR="00C97A41" w:rsidRPr="002365E1" w:rsidTr="007D4C85">
        <w:trPr>
          <w:trHeight w:val="1674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2365E1" w:rsidRDefault="00C97A41" w:rsidP="00E61412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cs="B Nazanin"/>
                <w:b/>
                <w:bCs/>
                <w:sz w:val="25"/>
                <w:szCs w:val="25"/>
              </w:rPr>
            </w:pPr>
            <w:r w:rsidRPr="002365E1">
              <w:rPr>
                <w:rFonts w:ascii="Arial" w:eastAsia="Calibri" w:cs="B Nazanin" w:hint="cs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  <w:t>نتایج مورد انتظار از انجام پژوهش</w:t>
            </w:r>
          </w:p>
          <w:p w:rsidR="00C97A41" w:rsidRPr="002365E1" w:rsidRDefault="00C97A41" w:rsidP="00027E89">
            <w:pPr>
              <w:pStyle w:val="NormalWeb"/>
              <w:jc w:val="center"/>
              <w:rPr>
                <w:rFonts w:ascii="Arial" w:eastAsia="Calibri" w:cs="B Nazanin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</w:pP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2365E1" w:rsidRDefault="00816907" w:rsidP="00816907">
            <w:pPr>
              <w:pStyle w:val="NormalWeb"/>
              <w:bidi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>
              <w:rPr>
                <w:rFonts w:ascii="Arial" w:eastAsia="Calibri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-</w:t>
            </w:r>
            <w:r w:rsidR="00A60D90" w:rsidRPr="002365E1">
              <w:rPr>
                <w:rFonts w:ascii="Arial" w:eastAsia="Calibri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طراحی مدل </w:t>
            </w:r>
            <w:r w:rsidR="00A60D90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بهره گیری از ظرفیت نهادهای عمومی برای توسعه آموزش های مهارتی </w:t>
            </w:r>
          </w:p>
          <w:p w:rsidR="00A60D90" w:rsidRPr="002365E1" w:rsidRDefault="00816907" w:rsidP="00816907">
            <w:pPr>
              <w:pStyle w:val="NormalWeb"/>
              <w:bidi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-</w:t>
            </w:r>
            <w:r w:rsidR="00A95D39" w:rsidRPr="002365E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تعیین میزان مشارکت و مسئولیت اجتماعی نهادهای عمومی و مردمی برای توسعه آموزش های مهارتی</w:t>
            </w:r>
          </w:p>
          <w:p w:rsidR="00027E89" w:rsidRPr="002365E1" w:rsidRDefault="00816907" w:rsidP="002D6DE7">
            <w:pPr>
              <w:pStyle w:val="NormalWeb"/>
              <w:bidi/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-</w:t>
            </w:r>
            <w:r w:rsidR="002D6DE7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تنظیم متن توافقنامه و مفاد آن با نهادهای عمومی به تفکیک شرح وظایف و تعهدات طرفین</w:t>
            </w:r>
            <w:bookmarkStart w:id="0" w:name="_GoBack"/>
            <w:bookmarkEnd w:id="0"/>
          </w:p>
        </w:tc>
      </w:tr>
    </w:tbl>
    <w:p w:rsidR="00C97A41" w:rsidRPr="002365E1" w:rsidRDefault="00C97A41" w:rsidP="00D80933">
      <w:pPr>
        <w:bidi/>
        <w:rPr>
          <w:rFonts w:cs="B Nazanin"/>
          <w:sz w:val="25"/>
          <w:szCs w:val="25"/>
        </w:rPr>
      </w:pPr>
    </w:p>
    <w:sectPr w:rsidR="00C97A41" w:rsidRPr="002365E1" w:rsidSect="007D4C85">
      <w:pgSz w:w="11906" w:h="16838" w:code="9"/>
      <w:pgMar w:top="1440" w:right="1440" w:bottom="1440" w:left="113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27" w:rsidRDefault="00C47C27" w:rsidP="00AD4C70">
      <w:pPr>
        <w:spacing w:after="0" w:line="240" w:lineRule="auto"/>
      </w:pPr>
      <w:r>
        <w:separator/>
      </w:r>
    </w:p>
  </w:endnote>
  <w:endnote w:type="continuationSeparator" w:id="0">
    <w:p w:rsidR="00C47C27" w:rsidRDefault="00C47C27" w:rsidP="00AD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27" w:rsidRDefault="00C47C27" w:rsidP="00AD4C70">
      <w:pPr>
        <w:spacing w:after="0" w:line="240" w:lineRule="auto"/>
      </w:pPr>
      <w:r>
        <w:separator/>
      </w:r>
    </w:p>
  </w:footnote>
  <w:footnote w:type="continuationSeparator" w:id="0">
    <w:p w:rsidR="00C47C27" w:rsidRDefault="00C47C27" w:rsidP="00AD4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C2D"/>
    <w:multiLevelType w:val="hybridMultilevel"/>
    <w:tmpl w:val="CB561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2CD8"/>
    <w:multiLevelType w:val="hybridMultilevel"/>
    <w:tmpl w:val="3D4AC422"/>
    <w:lvl w:ilvl="0" w:tplc="C1D45F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6689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6D6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6AA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CE9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4D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63A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8CC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AA9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31B71"/>
    <w:multiLevelType w:val="hybridMultilevel"/>
    <w:tmpl w:val="8924D11C"/>
    <w:lvl w:ilvl="0" w:tplc="32A40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F0F67"/>
    <w:multiLevelType w:val="hybridMultilevel"/>
    <w:tmpl w:val="0AFA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A060B"/>
    <w:multiLevelType w:val="hybridMultilevel"/>
    <w:tmpl w:val="D90E6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41"/>
    <w:rsid w:val="000063A7"/>
    <w:rsid w:val="00027E89"/>
    <w:rsid w:val="000C6DFC"/>
    <w:rsid w:val="000F53F6"/>
    <w:rsid w:val="00135885"/>
    <w:rsid w:val="00144FCF"/>
    <w:rsid w:val="0019568B"/>
    <w:rsid w:val="001D7E0B"/>
    <w:rsid w:val="00205D66"/>
    <w:rsid w:val="00217BBD"/>
    <w:rsid w:val="002365E1"/>
    <w:rsid w:val="00237FB3"/>
    <w:rsid w:val="00273DB5"/>
    <w:rsid w:val="002C7200"/>
    <w:rsid w:val="002D6DE7"/>
    <w:rsid w:val="00476A9C"/>
    <w:rsid w:val="0048689E"/>
    <w:rsid w:val="00496A89"/>
    <w:rsid w:val="004A4F74"/>
    <w:rsid w:val="004E1038"/>
    <w:rsid w:val="00522975"/>
    <w:rsid w:val="005820B5"/>
    <w:rsid w:val="005A6C31"/>
    <w:rsid w:val="00695301"/>
    <w:rsid w:val="006A0CA3"/>
    <w:rsid w:val="006A78DC"/>
    <w:rsid w:val="006B102F"/>
    <w:rsid w:val="006D44AB"/>
    <w:rsid w:val="006F4879"/>
    <w:rsid w:val="007D12A6"/>
    <w:rsid w:val="007D4C85"/>
    <w:rsid w:val="00816907"/>
    <w:rsid w:val="00875113"/>
    <w:rsid w:val="008C3E2A"/>
    <w:rsid w:val="008C79B6"/>
    <w:rsid w:val="008E648C"/>
    <w:rsid w:val="0099693D"/>
    <w:rsid w:val="00A60D90"/>
    <w:rsid w:val="00A95D39"/>
    <w:rsid w:val="00AC61E9"/>
    <w:rsid w:val="00AD4C70"/>
    <w:rsid w:val="00AE1FA9"/>
    <w:rsid w:val="00B16307"/>
    <w:rsid w:val="00B31E29"/>
    <w:rsid w:val="00B43ABE"/>
    <w:rsid w:val="00B97AE7"/>
    <w:rsid w:val="00C47C27"/>
    <w:rsid w:val="00C97A41"/>
    <w:rsid w:val="00D80933"/>
    <w:rsid w:val="00D85B88"/>
    <w:rsid w:val="00DA2B1C"/>
    <w:rsid w:val="00DE0C90"/>
    <w:rsid w:val="00DE5FF9"/>
    <w:rsid w:val="00E00465"/>
    <w:rsid w:val="00E07A2E"/>
    <w:rsid w:val="00E240F3"/>
    <w:rsid w:val="00E571F8"/>
    <w:rsid w:val="00E61412"/>
    <w:rsid w:val="00E94292"/>
    <w:rsid w:val="00EB39C9"/>
    <w:rsid w:val="00EB7DF9"/>
    <w:rsid w:val="00F157E7"/>
    <w:rsid w:val="00F52CB5"/>
    <w:rsid w:val="00F85695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B39C"/>
  <w15:chartTrackingRefBased/>
  <w15:docId w15:val="{21ADC890-9AEA-4F98-8263-B005FFFB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0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39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4C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C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4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9283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583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627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745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77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124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327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484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592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05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56DD5-D90E-457A-A20B-054301A3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Amini</dc:creator>
  <cp:keywords/>
  <dc:description/>
  <cp:lastModifiedBy>Raziyeh Abaszadeh</cp:lastModifiedBy>
  <cp:revision>3</cp:revision>
  <cp:lastPrinted>2022-09-26T09:03:00Z</cp:lastPrinted>
  <dcterms:created xsi:type="dcterms:W3CDTF">2022-10-08T09:20:00Z</dcterms:created>
  <dcterms:modified xsi:type="dcterms:W3CDTF">2022-10-10T08:53:00Z</dcterms:modified>
</cp:coreProperties>
</file>